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951d1_6k.htm"/>
      <w:bookmarkStart w:id="1" w:name="kstm262695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br/>
        <w:t>Commission File Number: 001-40799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SPORTRADAR GROUP AG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Feldlistrasse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CH-9000 St. Gallen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Sportradar AG, a subsidiary of Sportradar Group AG (the “Company”), entered into a purchase and sale agreement (the “Agreement”) with Teamworks Innovations, Inc. (the “Purchaser”) for the sale of 100% of the issued and outstanding equity interests of Atrium Sports Inc., the operator of the Company’s Synergy Sports coaching and scouting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the Purchaser will pay a cash purchase price of $170 million (subject to certain purchase price adjustments as set forth in the Agreement). The transaction is currently expected to close in the fourth quarter of 2026, subject to the satisfaction of customary closing conditions. The Agreement contains customary representations, warranties, covenants and indemnification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the Company issued the press release announcing the entry into the Agreement. A copy of the press release is furnished as Exhibit 99.1 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other than Exhibit 99.1 is hereby incorporated by reference into the Company’s Registration Statements on Form S-8 (File No. 333-259885) and Form F-3 (File No. 333-286679),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Harbor for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in this Report on Form 6-K may constitute “forward-looking” statements and information within the meaning of Section 27A of the Securities Act of 1933, as amended, Section 21E of the Securities Exchange Act of 1934, as amended, and the safe harbor provisions of the U.S. Private Securities Litigation Reform Act of 1995 that relate to our current expectations and views of future events, including, without limitation, statements regarding the expected closing of the sale transaction of Atrium Sports, Inc.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economic downturns and political and market conditions beyond our control, including uncertainty and instability resulting from catastrophic events such as acts of war or terrorism and foreign exchange rate fluctuations; dependence on our strategic relationships with our sports league partners; effect of social responsibility concerns and public opinion on responsible gaming, gambling by minors, match-fixing or other illegal gambling schemes on our reputation; potential adverse changes in public and consumer tastes and preferences and industry trends; potential changes in competitive landscape, including new market entrants or disintermediation; potential inability to anticipate and adopt new technology and products; potential errors, failures or bugs in our products; inability to protect our systems and data from continually evolving cybersecurity risks, security breaches or other technological risks; potential interruptions and failures in our systems or infrastructure; our ability to comply with governmental laws, rules, regulations, and other legal obligations, related to data privacy, protection and security; ability to comply with the variety of unsettled and developing U.S. and foreign laws on sports betting; risks associated with artificial intelligence and machine-learning technologies; failure to recruit, retain and develop qualified personnel; changes in the legal and regulatory status of real money gambling and betting legislation on us and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our ability to successfully remediate any material weaknesses identified in our internal control over financial reporting; seasonality and volatility; difficulties in our ability to evaluate, complete and integrate acquisitions successfully; inability to secure additional financing in a timely manner, or at all, to meet our long-term future capital needs; publication of research reports, including by short sellers, or speculation in the press or the investment community, about us; and other risk factors set forth in the section titled “Risk Factors” in our Annual Report on Form 20-F for the fiscal year ended December 31, 2025, and other documents filed with or furnished to the SEC, accessible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our website at </w:t>
      </w:r>
      <w:r>
        <w:rPr>
          <w:rFonts w:ascii="Times New Roman;Times;Serif" w:hAnsi="Times New Roman;Times;Serif"/>
          <w:b w:val="false"/>
          <w:i w:val="false"/>
          <w:caps w:val="false"/>
          <w:smallCaps w:val="false"/>
          <w:sz w:val="20"/>
          <w:u w:val="single"/>
        </w:rPr>
        <w:t>https://investors.sportradar.com</w:t>
      </w:r>
      <w:r>
        <w:rPr>
          <w:rFonts w:ascii="Times New Roman;Times;Serif" w:hAnsi="Times New Roman;Times;Serif"/>
          <w:b w:val="false"/>
          <w:i w:val="false"/>
          <w:caps w:val="false"/>
          <w:smallCaps w:val="false"/>
          <w:sz w:val="20"/>
        </w:rPr>
        <w:t>. These statements reflect management’s current expectations regarding future events and operating performance and speak only as of the date of this press release. One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28" w:type="dxa"/>
          <w:right w:w="0" w:type="dxa"/>
        </w:tblCellMar>
      </w:tblPr>
      <w:tblGrid>
        <w:gridCol w:w="785"/>
        <w:gridCol w:w="60"/>
        <w:gridCol w:w="6020"/>
      </w:tblGrid>
      <w:tr>
        <w:trPr/>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60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785" w:type="dxa"/>
            <w:tcBorders/>
            <w:tcMar>
              <w:bottom w:w="0" w:type="dxa"/>
            </w:tcMar>
            <w:vAlign w:val="center"/>
          </w:tcPr>
          <w:p>
            <w:pPr>
              <w:pStyle w:val="TableContents"/>
              <w:bidi w:val="0"/>
              <w:spacing w:before="0" w:after="283"/>
              <w:jc w:val="left"/>
              <w:rPr/>
            </w:pPr>
            <w:hyperlink w:anchor="tm2626951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6020" w:type="dxa"/>
            <w:tcBorders/>
            <w:tcMar>
              <w:bottom w:w="0" w:type="dxa"/>
            </w:tcMar>
            <w:vAlign w:val="center"/>
          </w:tcPr>
          <w:p>
            <w:pPr>
              <w:pStyle w:val="TableContents"/>
              <w:bidi w:val="0"/>
              <w:spacing w:before="0" w:after="283"/>
              <w:jc w:val="left"/>
              <w:rPr/>
            </w:pPr>
            <w:hyperlink w:anchor="tm2626951d1_ex99-1.htm">
              <w:r>
                <w:rPr>
                  <w:rStyle w:val="InternetLink"/>
                  <w:rFonts w:ascii="Times New Roman;Times;Serif" w:hAnsi="Times New Roman;Times;Serif"/>
                </w:rPr>
                <w:t>Press Release of Sportradar Group AG, dated October 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p>
      <w:pPr>
        <w:pStyle w:val="TextBody"/>
        <w:bidi w:val="0"/>
        <w:spacing w:before="0" w:after="0"/>
        <w:ind w:left="0" w:right="0" w:hanging="0"/>
        <w:jc w:val="center"/>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377"/>
        <w:gridCol w:w="2042"/>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b/>
                <w:sz w:val="20"/>
              </w:rPr>
            </w:pPr>
            <w:r>
              <w:rPr>
                <w:b/>
                <w:sz w:val="20"/>
              </w:rPr>
              <w:t>SPORTRADAR GROUP AG</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sz w:val="20"/>
              </w:rPr>
            </w:pPr>
            <w:r>
              <w:rPr>
                <w:sz w:val="20"/>
              </w:rPr>
              <w:t>By:</w:t>
            </w:r>
          </w:p>
        </w:tc>
        <w:tc>
          <w:tcPr>
            <w:tcW w:w="2042"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Michael C. Miller</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sz w:val="20"/>
              </w:rPr>
            </w:pPr>
            <w:r>
              <w:rPr>
                <w:sz w:val="20"/>
              </w:rPr>
              <w:t xml:space="preserve">Name: Michael C. Miller </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sz w:val="20"/>
              </w:rPr>
            </w:pPr>
            <w:r>
              <w:rPr>
                <w:sz w:val="20"/>
              </w:rPr>
              <w:t>Title: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951d1_ex99-1.htm"/>
      <w:bookmarkStart w:id="3" w:name="kstm2626951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Announces Agreement for the Divestiture of Coaching and Scouting Business of Synergy Sports to Teamworks Innovations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streamlines business and sharpens focus on core betting, gaming, and media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 GALLEN, Switzerland, October 7, 2026</w:t>
      </w:r>
      <w:r>
        <w:rPr>
          <w:rFonts w:ascii="Times New Roman;Times;Serif" w:hAnsi="Times New Roman;Times;Serif"/>
          <w:b w:val="false"/>
          <w:i w:val="false"/>
          <w:caps w:val="false"/>
          <w:smallCaps w:val="false"/>
          <w:sz w:val="20"/>
        </w:rPr>
        <w:t xml:space="preserve"> -- Sportradar Group AG (NASDAQ: SRAD), a leading global sports technology company creating immersive experiences for sports fans and bettors, today announced that it has entered into a definitive agreement to sell Atrium Sports, the coaching and scouting business of Synergy Sports, to Teamworks Innovations, Inc. for US $170 million in cash. This transaction represents an accretive double-digit EBITDA multiple relative to Sportradar’s market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will retain certain technology assets, capabilities, and revenue that underpin its core offerings and is already integrated into its business, including automated video production cameras, automated graphics solutions, certain computer vision capabilities, and competition management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Carsten Koerl, Chief Executive Officer of Sportradar, said: “This transaction optimizes and streamlines our business as we focus on our core betting, gaming, and media priorities, while enabling us to retain key technology assets and capabilities that will support growth and innovation. The proceeds will further strengthen our balance sheet and support capital allocation priorities. Synergy is a leading team-side analytics platform for baseball and basketball and this transaction positions the business for its next phase under an industry leader focused on serving teams and athletes. We will work closely with Teamworks to ensure a seamless transition for our clients, partners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currently expected to close in the fourth quarter of 2026, subject to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Sportradar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Sportradar Group AG (NASDAQ: SRAD), founded in 2001, is a leading global sports technology company creating immersive experiences for sports fans and bettors. Positioned at the intersection of the sports media and betting/gaming industries, Sportradar provides betting and iGaming operators, media and technology companies, prediction market partners and sports federations with a best-in-class range of solutions to help grow their businesses. Trusted by the world’s leading global sports organizations including the ATP, NBA and WNBA, NHL, MLB, MLS, PGA TOUR, UEFA, FIFA, CONMEBOL, AFC, and the Bundesliga, and global clients including Flutter, DraftKings, Google, Microsoft, Kalshi and Polymarket, Sportradar covers more than a million events annually across all major sports. Sportradar is not just redefining the sports fan experience, it also safeguards sports through its Integrity Services division and advocates for an integrity-driven environment for all involved. For more information about Sportradar, please visit </w:t>
      </w:r>
      <w:r>
        <w:rPr>
          <w:rFonts w:ascii="Times New Roman;Times;Serif" w:hAnsi="Times New Roman;Times;Serif"/>
          <w:b w:val="false"/>
          <w:i w:val="false"/>
          <w:caps w:val="false"/>
          <w:smallCaps w:val="false"/>
          <w:sz w:val="20"/>
          <w:u w:val="single"/>
        </w:rPr>
        <w:t>www.sportradar.com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 xml:space="preserve">Sandra Lee </w:t>
      </w:r>
      <w:r>
        <w:rPr>
          <w:rFonts w:ascii="Times New Roman;Times;Serif" w:hAnsi="Times New Roman;Times;Serif"/>
          <w:b w:val="false"/>
          <w:i w:val="false"/>
          <w:caps w:val="false"/>
          <w:smallCaps w:val="false"/>
          <w:sz w:val="20"/>
          <w:u w:val="single"/>
        </w:rPr>
        <w:t>sandra.lee@sportradar.com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br/>
        <w:t xml:space="preserve">Jim Bombassei </w:t>
      </w:r>
      <w:r>
        <w:rPr>
          <w:rFonts w:ascii="Times New Roman;Times;Serif" w:hAnsi="Times New Roman;Times;Serif"/>
          <w:b w:val="false"/>
          <w:i w:val="false"/>
          <w:caps w:val="false"/>
          <w:smallCaps w:val="false"/>
          <w:sz w:val="20"/>
          <w:u w:val="single"/>
        </w:rPr>
        <w:t>j.bombassei@sportradar.com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in this press release may constitute “forward-looking” statements and information within the meaning of Section 27A of the Securities Act of 1933, as amended, Section 21E of the Securities Exchange Act of 1934, as amended, and the safe harbor provisions of the U.S. Private Securities Litigation Reform Act of 1995 that relate to our current expectations and views of future events, including, without limitation, statements regarding the expected closing of the sale transaction of Atrium Sports, Inc.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economic downturns and political and market conditions beyond our control, including uncertainty and instability resulting from catastrophic events such as acts of war or terrorism and foreign exchange rate fluctuations; dependence on our strategic relationships with our sports league partners; effect of social responsibility concerns and public opinion on responsible gaming, gambling by minors, match-fixing or other illegal gambling schemes on our reputation; potential adverse changes in public and consumer tastes and preferences and industry trends; potential changes in competitive landscape, including new market entrants or disintermediation; potential inability to anticipate and adopt new technology and products; potential errors, failures or bugs in our products; inability to protect our systems and data from continually evolving cybersecurity risks, security breaches or other technological risks; potential interruptions and failures in our systems or infrastructure; our ability to comply with governmental laws, rules, regulations, and other legal obligations, related to data privacy, protection and security; ability to comply with the variety of unsettled and developing U.S. and foreign laws on sports betting; risks associated with artificial intelligence and machine-learning technologies; failure to recruit, retain and develop qualified personnel; changes in the legal and regulatory status of real money gambling and betting legislation on us and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our ability to successfully remediate any material weaknesses identified in our internal control over financial reporting; seasonality and volatility; difficulties in our ability to evaluate, complete and integrate acquisitions successfully; inability to secure additional financing in a timely manner, or at all, to meet our long-term future capital needs; publication of research reports, including by short sellers, or speculation in the press or the investment community, about us; and other risk factors set forth in the section titled “Risk Factors” in our Annual Report on Form 20-F for the fiscal year ended December 31, 2025, and other documents filed with or furnished to the SEC, accessible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our website at </w:t>
      </w:r>
      <w:r>
        <w:rPr>
          <w:rFonts w:ascii="Times New Roman;Times;Serif" w:hAnsi="Times New Roman;Times;Serif"/>
          <w:b w:val="false"/>
          <w:i w:val="false"/>
          <w:caps w:val="false"/>
          <w:smallCaps w:val="false"/>
          <w:sz w:val="20"/>
          <w:u w:val="single"/>
        </w:rPr>
        <w:t>https://investors.sportradar.com</w:t>
      </w:r>
      <w:r>
        <w:rPr>
          <w:rFonts w:ascii="Times New Roman;Times;Serif" w:hAnsi="Times New Roman;Times;Serif"/>
          <w:b w:val="false"/>
          <w:i w:val="false"/>
          <w:caps w:val="false"/>
          <w:smallCaps w:val="false"/>
          <w:sz w:val="20"/>
        </w:rPr>
        <w:t>. These statements reflect management’s current expectations regarding future events and operating performance and speak only as of the date of this press release. One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2126</Words>
  <Characters>12744</Characters>
  <CharactersWithSpaces>14908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