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599d1_6k.htm"/>
      <w:bookmarkStart w:id="1" w:name="kstm2621599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br/>
        <w:t>Commission File Number: 001-40799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SPORTRADAR GROUP AG</w:t>
      </w:r>
      <w:r>
        <w:rPr>
          <w:rFonts w:ascii="Times New Roman;Times;Serif" w:hAnsi="Times New Roman;Times;Serif"/>
          <w:b w:val="false"/>
          <w:i w:val="false"/>
          <w:caps w:val="false"/>
          <w:smallCaps w:val="false"/>
          <w:sz w:val="36"/>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Feldlistrasse 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CH-9000 St. Gallen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Switzerland</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Sportradar Group AG (the “Company”) issued a press release reporting its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furnished as Exhibit 99.1 herewith. The IFRS financial information contained in the (i) consolidated statements of profit or loss and other comprehensive income, (ii) consolidated statements of financial position, and (iii) consolidated statements of cash flows included in the press release attached as Exhibit 99.1 hereto is hereby incorporated by reference into the Company’s Registration Statements on Form S-8 (File No. 333-259885) and Form F-3 (File No. 333-286679),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28" w:type="dxa"/>
          <w:right w:w="0" w:type="dxa"/>
        </w:tblCellMar>
      </w:tblPr>
      <w:tblGrid>
        <w:gridCol w:w="995"/>
        <w:gridCol w:w="60"/>
        <w:gridCol w:w="495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159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pPr>
            <w:hyperlink w:anchor="tm2621599d1_ex99-1.htm">
              <w:r>
                <w:rPr>
                  <w:rStyle w:val="InternetLink"/>
                  <w:rFonts w:ascii="Times New Roman;Times;Serif" w:hAnsi="Times New Roman;Times;Serif"/>
                  <w:sz w:val="20"/>
                </w:rPr>
                <w:t>Press Release of Sportradar Group AG, dated August 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SPORTRADAR GROUP AG</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Felenstein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Craig Felenstein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1599d1_ex99-1.htm"/>
      <w:bookmarkStart w:id="3" w:name="kstm2621599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REPORTS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2026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21"/>
        <w:gridCol w:w="9787"/>
      </w:tblGrid>
      <w:tr>
        <w:trPr/>
        <w:tc>
          <w:tcPr>
            <w:tcW w:w="9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rFonts w:ascii="Symbol" w:hAnsi="Symbol"/>
              </w:rPr>
            </w:pPr>
            <w:r>
              <w:rPr>
                <w:rFonts w:ascii="Symbol" w:hAnsi="Symbol"/>
              </w:rPr>
              <w:t>·</w:t>
            </w:r>
          </w:p>
        </w:tc>
        <w:tc>
          <w:tcPr>
            <w:tcW w:w="9787" w:type="dxa"/>
            <w:tcBorders/>
            <w:vAlign w:val="center"/>
          </w:tcPr>
          <w:p>
            <w:pPr>
              <w:pStyle w:val="TableContents"/>
              <w:bidi w:val="0"/>
              <w:spacing w:before="0" w:after="283"/>
              <w:jc w:val="left"/>
              <w:rPr/>
            </w:pPr>
            <w:r>
              <w:rPr/>
              <w:t>Revenue increased 19% to €378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Loss for the period of €4 million, 0.9% as a percentage of revenue with increased operating results offset by unrealized foreign currency losses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both"/>
              <w:rPr/>
            </w:pPr>
            <w:r>
              <w:rPr/>
              <w:t>Adjusted EBITDA</w:t>
            </w:r>
            <w:r>
              <w:rPr>
                <w:position w:val="8"/>
                <w:sz w:val="19"/>
              </w:rPr>
              <w:t>1</w:t>
            </w:r>
            <w:r>
              <w:rPr/>
              <w:t xml:space="preserve"> increased 19% to €76 million and Adjusted EBITDA margin</w:t>
            </w:r>
            <w:r>
              <w:rPr>
                <w:position w:val="8"/>
                <w:sz w:val="19"/>
              </w:rPr>
              <w:t>1</w:t>
            </w:r>
            <w:r>
              <w:rPr/>
              <w:t xml:space="preserve"> expanded to 20.2%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cash from operating activities increased 20% to €117 million and Free cash flow</w:t>
            </w:r>
            <w:r>
              <w:rPr>
                <w:position w:val="8"/>
                <w:sz w:val="19"/>
              </w:rPr>
              <w:t>1</w:t>
            </w:r>
            <w:r>
              <w:rPr/>
              <w:t xml:space="preserve"> increased 14% to €59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both"/>
              <w:rPr/>
            </w:pPr>
            <w:r>
              <w:rPr/>
              <w:t>Repurchased $140 million of shares during the quarter under the share repurchase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both"/>
              <w:rPr/>
            </w:pPr>
            <w:r>
              <w:rPr/>
              <w:t>Upsized revolving credit facility to €250 million, lowering fees and extending maturity to 2031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Entered into strategic partnerships with leading prediction market exchanges, expanding total addressable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 GALLEN, Switzerland, August 3, 2026 – </w:t>
      </w:r>
      <w:r>
        <w:rPr>
          <w:rFonts w:ascii="Times New Roman;Times;Serif" w:hAnsi="Times New Roman;Times;Serif"/>
          <w:b w:val="false"/>
          <w:i w:val="false"/>
          <w:caps w:val="false"/>
          <w:smallCaps w:val="false"/>
          <w:sz w:val="20"/>
          <w:u w:val="single"/>
        </w:rPr>
        <w:t>Sportradar Group AG</w:t>
      </w:r>
      <w:r>
        <w:rPr>
          <w:rFonts w:ascii="Times New Roman;Times;Serif" w:hAnsi="Times New Roman;Times;Serif"/>
          <w:b w:val="false"/>
          <w:i w:val="false"/>
          <w:caps w:val="false"/>
          <w:smallCaps w:val="false"/>
          <w:sz w:val="20"/>
        </w:rPr>
        <w:t xml:space="preserve"> (Nasdaq: SRAD) (“Sportradar” or the “Company”), a leading global sports technology company focused on creating immersive experiences for sports fans and bettors, today announced financial results for its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Carsten Koerl, Chief Executive Officer of Sportradar, said: "Sportradar’s second-quarter financial growth, along with the progress we delivered across a variety of key strategic initiatives, reflects our mission-critical role at the center of the global sports ecosystem. Strong demand for our premium content, data and technology solutions, including increased monetization of our IMG ARENA rights portfolio, drove double-digit growth while deepening our relationships across our unparalleled global distribution network. We also further expanded our addressable market, entering into strategic partnerships with key prediction market participants that will enable us to capitalize on this fast-growing ecosystem. As we benefit from new avenues of growth, we remain focused on innovating across our core product suite to drive additional value for our partners, and clients as well as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w:t>
      </w:r>
    </w:p>
    <w:p>
      <w:pPr>
        <w:pStyle w:val="TextBody"/>
        <w:bidi w:val="0"/>
        <w:spacing w:before="0" w:after="0"/>
        <w:ind w:left="0" w:right="0" w:hanging="0"/>
        <w:jc w:val="left"/>
        <w:rPr>
          <w:caps w:val="false"/>
          <w:smallCaps w:val="false"/>
        </w:rPr>
      </w:pPr>
      <w:r>
        <w:rPr>
          <w:caps w:val="false"/>
          <w:smallCaps w:val="false"/>
        </w:rPr>
        <w:t> </w:t>
      </w:r>
    </w:p>
    <w:tbl>
      <w:tblPr>
        <w:tblW w:w="9770" w:type="dxa"/>
        <w:jc w:val="left"/>
        <w:tblInd w:w="0" w:type="dxa"/>
        <w:tblLayout w:type="fixed"/>
        <w:tblCellMar>
          <w:top w:w="0" w:type="dxa"/>
          <w:left w:w="0" w:type="dxa"/>
          <w:bottom w:w="0" w:type="dxa"/>
          <w:right w:w="0" w:type="dxa"/>
        </w:tblCellMar>
      </w:tblPr>
      <w:tblGrid>
        <w:gridCol w:w="3335"/>
        <w:gridCol w:w="60"/>
        <w:gridCol w:w="60"/>
        <w:gridCol w:w="695"/>
        <w:gridCol w:w="60"/>
        <w:gridCol w:w="60"/>
        <w:gridCol w:w="60"/>
        <w:gridCol w:w="695"/>
        <w:gridCol w:w="60"/>
        <w:gridCol w:w="60"/>
        <w:gridCol w:w="61"/>
        <w:gridCol w:w="604"/>
        <w:gridCol w:w="80"/>
        <w:gridCol w:w="60"/>
        <w:gridCol w:w="60"/>
        <w:gridCol w:w="290"/>
        <w:gridCol w:w="245"/>
        <w:gridCol w:w="60"/>
        <w:gridCol w:w="60"/>
        <w:gridCol w:w="695"/>
        <w:gridCol w:w="60"/>
        <w:gridCol w:w="60"/>
        <w:gridCol w:w="60"/>
        <w:gridCol w:w="695"/>
        <w:gridCol w:w="60"/>
        <w:gridCol w:w="60"/>
        <w:gridCol w:w="61"/>
        <w:gridCol w:w="604"/>
        <w:gridCol w:w="80"/>
        <w:gridCol w:w="60"/>
        <w:gridCol w:w="60"/>
        <w:gridCol w:w="290"/>
        <w:gridCol w:w="26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 Ended</w:t>
              <w:br/>
              <w:t>June 30,</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 Period Ended</w:t>
              <w:br/>
              <w:t>June 30,</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 thousands (unaudited)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by product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Betting &amp; Gaming Content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486,698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Managed Betting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Betting Technology &amp; Solutions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313,605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258,766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601,210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508,788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92,422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&amp; Media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Performance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Integrity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Content, Technology &amp;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64,210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123,123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377,815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317,790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724,333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by geography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World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229,823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317,790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724,333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581785" cy="283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81785" cy="28321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2026 FINANCIAL RESULTS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second quarter was €378 million, up €60 million, or 19% year-over-year, driven by 21% growth in Betting Technology &amp; Solutions and 9% growth in Sports Content, Technology &amp;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Betting Technology &amp; Solutions revenues of €314 million were up 21% year-over-year primarily driven by a 27% increase in Betting &amp; Gaming Content reflecting contributions related to the acquisition of IMG ARENA and new customer uptake of the Company's products and services. Revenue growth was partially offset by moderating U.S. market growth and unfavorable foreign currency movements. Managed Betting Services revenues were in line with the prior year as higher Managed Trading Services revenues due to higher turnover and trading margins were offset by lower platform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Content, Technology &amp; Services revenues of €64 million increased 9% year-over-year primarily driven by a 16% increase in Marketing &amp; Media Services due to contributions from new and existing media and technology customers, as well as increased affiliate marketing spending, partially offset by decreased revenue from our Sports Performance business principally due to foreign currency movements.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strong revenue growth globally with Rest of World up 20% and the United States up 16%. Foreign currency movements, particularly due to the U.S. dollar relative to the euro, continue to negatively impact earnings. As a percentage of total Company revenues, United States revenue represented 27% of total Company revenue in the second quarter as compared to 28% in the prior year quarter with customer uptake of our premium content and solutions partially offset by slower market growth and foreign currency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 was €4 million, down €53 million, compared to a profit of €49 million in the same quarter a year ago, as the Company's strong operating results were more than offset primarily by a foreign currency loss of €9 million versus a gain of €54 million in the same period a year ago. This was due principally to unrealized currency fluctuations mainly associated with U.S. dollar-denominated sports rights. The second quarter of 2026 also included severance costs related to cost efficiency initiatives and lower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Adjusted EBITDA was €76 million, up €12 million, or 19%, compared to €64 million in the same quarter in 2025. The increase was largely driven by the 19% revenue growth as well as lower adjusted personnel costs, partially offset by the inclusion of costs related to IMG ARENA, most notably sport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Announced a multi-year global agreement with Kalshi, positioning Sportradar as an official data and solutions provider for the world’s largest prediction market. The partnership includes Sportradar’s premium data, odds, fan engagement, customer acquisition and integrity services for a number of major sports properties. It also enables Sportradar to enter into agreements directly with Kalshi’s partners, including market makers and brokers.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Entered into a multi-year agreement with Polymarket, in coordination with Tennis Data Innovations (TDI), to provide exclusive ATP Tour streaming rights, along with official data, live odds, fan engagement, customer acquisition and integrity solutions.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Signed a multi-year extension with The All England Club for exclusive global distribution of official data and audiovisual betting rights for The Wimbledon Championships. Originally secured through the IMG ARENA acquisition, the renewal strengthens Sportradar’s premium tennis portfolio and supports enhanced in-play betting and fan engagement offerings.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Expanded Playradar, Sportradar’s iGaming offering that seamlessly connects sports betting and iGaming. Launching 24/7 Live Experience as well as historical sports games. Secured key regulatory licenses and certifications across South America, Europe, and Canada, with further expansion planned in major European markets and several U.S.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Non-IFRS measure. See the sections captioned “Non-IFRS Financial Measures and Operating Metric” and “IFRS to Non-IFRS reconciliations”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Balance Sheet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were €251 million as of June 30, 2026, as compared with €365 million as of December 31, 2025. Net cash generated from operating activities for the six-months ended June 30, 2026 of €226 million was partially offset by net cash used in investing activities of €122 million, primarily from payments related to sport rights licenses, and by net cash used in financing activities of €222 million. Financing activities included €217 million in share repurchases. Free cash flow for the six-months ended June 30, 2026 was €103 million, an increase of €19 million, or 23%, from €84 million in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amended its existing €220 million revolving credit facility by, among other things, increasing total commitments to €250 million and extending the maturity date to May 20, 2031, while significantly reducing undrawn and drawn borrowing fees. Including the undrawn credit facility, the Company had total liquidity of €501 million as of June 30, 2026, as compared to €585 million as of December 31, 2025, and no debt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Full Year 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Sportradar is providing an updated fiscal 2026 outlook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Revenue growth on a constant currency</w:t>
            </w:r>
            <w:r>
              <w:rPr>
                <w:position w:val="8"/>
                <w:sz w:val="19"/>
              </w:rPr>
              <w:t>1</w:t>
            </w:r>
            <w:r>
              <w:rPr/>
              <w:t xml:space="preserve"> basis of 19% to 21%. When factoring in current foreign currency rates, revenues are expected to grow to a range of €1,518 to €1,533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EBITDA growth on a constant currency basis of 24% to 27%. When factoring in current foreign currency rates, Adjusted EBITDA is expected to grow to a range of €360 to €368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both"/>
              <w:rPr/>
            </w:pPr>
            <w:r>
              <w:rPr/>
              <w:t>Adjusted EBITDA margin expansion of approximately 70 to 100 basis points on a reported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Free cash flow conversion</w:t>
            </w:r>
            <w:r>
              <w:rPr>
                <w:position w:val="8"/>
                <w:sz w:val="19"/>
              </w:rPr>
              <w:t>1</w:t>
            </w:r>
            <w:r>
              <w:rPr/>
              <w:t xml:space="preserve"> rate is expected to exceed the 2025 level of 56%, excluding the impact of non-routine litigation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Repurchase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Company's Board of Directors approved a $200 million share repurchase plan. Subsequently, the Board of Directors approved a $100 million increase to the plan in October 2025 and another $700 million increase in February 2026, bringing the total authorized share repurchase plan to $1 billion. In addition, under this authorized plan, in April 2026 the Company announced it entered into an enhanced open market share repurchase program, to purchase up to $250 million of shares. As of July 31, 2026, the Company has repurchased 26 million shares for $422 million under the plan since inception, including $311 million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Sportradar will host a conference call to discuss the second quarter 2026 results today, August 3, 2026 at 8:30 a.m. Eastern Time. Those wishing to participate via webcast should access the earnings call through Sportradar’s </w:t>
      </w:r>
      <w:r>
        <w:rPr>
          <w:rFonts w:ascii="Times New Roman;Times;Serif" w:hAnsi="Times New Roman;Times;Serif"/>
          <w:b w:val="false"/>
          <w:i w:val="false"/>
          <w:caps w:val="false"/>
          <w:smallCaps w:val="false"/>
          <w:sz w:val="20"/>
          <w:u w:val="single"/>
        </w:rPr>
        <w:t>Investor Relations website</w:t>
      </w:r>
      <w:r>
        <w:rPr>
          <w:rFonts w:ascii="Times New Roman;Times;Serif" w:hAnsi="Times New Roman;Times;Serif"/>
          <w:b w:val="false"/>
          <w:i w:val="false"/>
          <w:caps w:val="false"/>
          <w:smallCaps w:val="false"/>
          <w:sz w:val="20"/>
        </w:rPr>
        <w:t>. An archived webcast with the accompanying slides will be available at the Company’s Investor Relations website for one year after the conclusion of the live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Sportradar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Sportradar Group AG (Nasdaq: SRAD), founded in 2001, is a leading global sports technology company creating immersive experiences for sports fans and bettors. Positioned at the intersection of the sports media and betting/gaming industries, Sportradar provides betting and iGaming operators, media and technology companies, prediction market partners and sports federations with a best-in-class range of solutions to help grow their businesses. Trusted by the world’s leading global sports organizations including the ATP, NBA and WNBA, NHL, MLB, MLS, PGA TOUR, UEFA, FIFA, CONMEBOL, AFC, and the Bundesliga, and global clients including Flutter, DraftKings, Google, Microsoft, Kalshi and Polymarket, Sportradar covers more than a million events annually across all major sports. Sportradar is not just redefining the sports fan experience, it also safeguards sports through its Integrity Services division and advocacy for an integrity-driven environment for all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Sportradar, please visit </w:t>
      </w:r>
      <w:r>
        <w:rPr>
          <w:rFonts w:ascii="Times New Roman;Times;Serif" w:hAnsi="Times New Roman;Times;Serif"/>
          <w:b w:val="false"/>
          <w:i w:val="false"/>
          <w:caps w:val="false"/>
          <w:smallCaps w:val="false"/>
          <w:sz w:val="20"/>
          <w:u w:val="single"/>
        </w:rPr>
        <w:t>www.sportradar.com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Non-IFRS measure or Operating Metric. See the sections captioned “Non-IFRS Financial Measures and Operating Metric” and “IFRS to Non-IFRS reconciliations”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581785" cy="283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81785" cy="28321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Bombassei</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j.bombassei@sportradar.com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Sandra Lee</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sandra.lee@sportradar.com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Non-IFRS Financial Measures and Operating Metric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in this press release financial information that has not been prepared in accordance with IFRS, including Adjusted EBITDA, Adjusted EBITDA margin, Constant Currency metrics, Adjusted purchased services, Adjusted personnel expenses, Adjusted other operating expenses, Free cash flow, and Free cash flow conversion, as well as our operating metric, Customer Net Retention Rate. We use these non-IFRS financial measures internally in analyzing our financial results and believe they are useful to investors, as a supplement to IFRS measures, in evaluating our ongoing operational performance. We believe that the use of these non-IFRS financial measures provides an additional tool for investors to use in evaluating ongoing operating results and trends and in comparing our financial results with other companies in our industry, many of which present similar non-IFRS financial measures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Non-IFRS financial measures should not be considered in isolation from, or as a substitute for, financial information prepared in accordance with IFRS. Investors are encouraged to review the reconciliation of these non-IFRS financial measures to their most directly comparable IFRS financial measures provided in the financial statement tables included below in this press release.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Adjusted EBITDA” </w:t>
            </w:r>
            <w:r>
              <w:rPr/>
              <w:t>represents earnings for the period adjusted for finance income and finance costs, income tax expense or benefit, depreciation and amortization (excluding amortization of capitalized sport rights licenses), foreign currency gains or losses, and other items that are non-recurring or not related to the Company’s revenue-generating operations, including share-based compensation, restructuring costs, non-routine litigation costs, secondary offering costs, and certain transaction-related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relating to sport rights are a key component of how we generate revenue and one of our main operating expenses.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As such, our presentation of Adjusted EBITDA reflects the full costs of our sport rights licenses. Management believes that, by including amortization of sport rights in its calculation of Adjusted EBITDA, the result is a financial metric that is both more meaningful and comparable for management and our investors while also being more indicative of our ongoing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Adjusted EBITDA because management believes that some items excluded are non-recurring in nature and this information is relevant in evaluating the results relative to other entities that operate in the same industry. Management believes Adjusted EBITDA is useful to investors for evaluating Sportradar’s operating performance against competitors, which commonly disclose similar performance measures. However, Sportradar’s calculation of Adjusted EBITDA may not be comparable to other similarly titled performance measures of other companies. Adjusted EBITDA is not intended to be a substitute for any IFRS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excluded from Adjusted EBITDA include significant components in understanding and assessing financial performance. Adjusted EBITDA has limitations as an analytical tool and should not be considered in isolation, or as an alternative to, or a substitute for, profit for the period, revenue or other financial statement data presented in our consolidated financial statements as indicators of financial performance. We compensate for these limitations by relying primarily on our IFRS results and using Adjusted EBITDA only as a supplemental measure.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rPr>
            </w:pPr>
            <w:r>
              <w:rPr>
                <w:rFonts w:ascii="Symbol" w:hAnsi="Symbol"/>
              </w:rPr>
              <w:t>·</w:t>
            </w:r>
          </w:p>
        </w:tc>
        <w:tc>
          <w:tcPr>
            <w:tcW w:w="9974" w:type="dxa"/>
            <w:tcBorders/>
            <w:vAlign w:val="center"/>
          </w:tcPr>
          <w:p>
            <w:pPr>
              <w:pStyle w:val="TableContents"/>
              <w:bidi w:val="0"/>
              <w:spacing w:before="0" w:after="283"/>
              <w:jc w:val="both"/>
              <w:rPr/>
            </w:pPr>
            <w:r>
              <w:rPr/>
              <w:t>“</w:t>
            </w:r>
            <w:r>
              <w:rPr>
                <w:i/>
              </w:rPr>
              <w:t>Adjusted EBITDA margin”</w:t>
            </w:r>
            <w:r>
              <w:rPr/>
              <w:t xml:space="preserve"> is the ratio of Adjusted EBITDA to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unable to provide a reconciliation of Adjusted EBITDA to profit (loss) for the period, or Adjusted EBITDA margin to Profit (loss) for the period as a percentage of revenue (in each case, the most directly comparable IFRS financial measure) on a forward-looking basis without unreasonable effort because items that impact these IFRS financial measures are not within the Company’s control and/or cannot be reasonably predicted. These items may include, but are not limited to, foreign exchange gains and losses. Such information may have a significant, and potentially unpredictable, impact on the Company’s future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Constant Currency" </w:t>
            </w:r>
            <w:r>
              <w:rPr/>
              <w:t>information compares results between periods as if exchange rates had remained constant. As the impact of exchange rate fluctuations can be highly variable, we believe these metrics, unaffected by exchange rate variability, provide meaningful insights to investors into our operational performance and underlying business trends.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unable to provide a reconciliation of constant currency measures to their comparable IFRS measures on a forward-looking basis without unreasonable effort because future exchange-rate movements that impact these measures are not within the Company’s control and/or cannot be reasonably predicted. Such information may have a significant, and potentially unpredictable, impact on the Company’s future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Adjusted purchased services, Adjusted personnel expenses, and Adjusted other operating expenses (together, "Non-IFRS expenses") because management utilizes these financial measures to manage its business on a day-to-day basis and believes that they are the most relevant measures of expenses. Management believes these adjusted expense measures provide expanded insight to assess revenue and cost performance, in addition to the standard IFRS-based financial measures. Management believes these adjusted expense measures are useful to investors for evaluating Sportradar’s operating performance against competitors. However, Sportradar’s calculation of adjusted expense measures may not be comparable to other similarly titled performance measures of other companies. These adjusted expense measures are not intended to be a substitute for any IFRS financial measure.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Adjusted purchased services</w:t>
            </w:r>
            <w:r>
              <w:rPr/>
              <w:t>” represents purchased services less capitalized external development costs and certain transaction-related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Adjusted personnel expenses</w:t>
            </w:r>
            <w:r>
              <w:rPr/>
              <w:t>” represents personnel expenses less share-based compensation awarded to employees, restructuring costs, and capitalized personnel compensation.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Adjusted other operating expenses</w:t>
            </w:r>
            <w:r>
              <w:rPr/>
              <w:t>” represents other operating expenses plus impairment loss on trade receivables, less non-routine litigation, share-based compensation awarded to third parties, secondary offering costs, and certain transaction-related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Free cash flow and Free cash flow conversion to be liquidity measures that provide useful information to management and investors about the amount of cash generated by the business after the purchase of property and equipment, the purchase of intangible assets and payment of lease liabilities, which can then be used, among other things, to invest in our business and make strategic acquisitions, as well as our ability to convert our earnings to cash. A limitation of the utility of Free cash flow and Free cash flow conversion as measures of liquidity is that they do not represent the total increase or decrease in our cash balance for the year.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Free cash flow</w:t>
            </w:r>
            <w:r>
              <w:rPr/>
              <w:t>” represents net cash from operating activities adjusted for payments for lease liabilities, acquisition of property and equipment, and acquisition of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both"/>
              <w:rPr/>
            </w:pPr>
            <w:r>
              <w:rPr/>
              <w:t>“</w:t>
            </w:r>
            <w:r>
              <w:rPr>
                <w:i/>
              </w:rPr>
              <w:t>Free cash flow conversion</w:t>
            </w:r>
            <w:r>
              <w:rPr/>
              <w:t>” represents Free cash flow as a percentage of Adjusted EBITDA.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unable to provide a reconciliation of Free cash flow to net cash from operating activities or Free cash flow conversion to net cash from operating activities as a percentage of profit (loss) for the period (in each case, the most directly comparable IFRS financial measure) on a forward-looking basis without unreasonable effort because items that impact these IFRS financial measures are not within the Company’s control and/or cannot be reasonably predicted. These items may include, but are not limited to, changes in working capital, the timing of customer payments, the timing and amount of tax payments, and other items that are non-recurring or unusual. Such information may have a significant, and potentially unpredictable, impact on the Company’s future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define the following operating metric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Customer Net Retention Rate” </w:t>
            </w:r>
            <w:r>
              <w:rPr/>
              <w:t>is calculated for a given period by starting with the reported Trailing Twelve Month revenue from our top 200 customers as of twelve months prior to such period end, or prior period revenue. We then calculate the reported trailing twelve-month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Net Retention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for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including, without limitation, statements regarding future financial or operating performance, planned activities and objectives, anticipated growth resulting therefrom, market opportunities, strategies and other expectations, and our guidance and outlook, including expected performance for the full year 2026, as well as statements regarding our share repurchase plan. In some cases, these forward-looking statements can be identified by words or phrases such as “may,” “might,” “will,” “could,” “would,” “should,” “expect,” “plan,” “anticipate,” “intend,” “seek,” “believe,” “estimate,” “predict,” “potential,” “projects”, “continue,” “contemplate,” “confident,”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economic downturns and political and market conditions beyond our control, including uncertainty and instability resulting from catastrophic events such as acts of war or terrorism and foreign exchange rate fluctuations; dependence on our strategic relationships with our sports league partners; effect of social responsibility concerns and public opinion on responsible gaming, gambling by minors, match-fixing or other illegal gambling schemes on our reputation; potential adverse changes in public and consumer tastes and preferences and industry trends; potential changes in competitive landscape, including new market entrants or disintermediation; potential inability to anticipate and adopt new technology and products; potential errors, failures or bugs in our products; inability to protect our systems and data from continually evolving cybersecurity risks, security breaches or other technological risks; potential interruptions and failures in our systems or infrastructure; our ability to comply with governmental laws, rules, regulations, and other legal obligations, related to data privacy, protection and security; ability to comply with the variety of unsettled and developing U.S. and foreign laws on sports betting; risks associated with artificial intelligence and machine-learning technologies; failure to recruit, retain and develop qualified personnel; changes in the legal and regulatory status of real money gambling and betting legislation on us and our customers; our inability to maintain or obtain regulatory compliance in the jurisdictions in which we conduct our business; our ability to obtain, maintain, protect, enforce and defend our intellectual property rights; our ability to obtain and maintain sufficient data rights from major sports leagues, including exclusive rights; our ability to successfully remediate any material weaknesses identified in our internal control over financial reporting; seasonality and volatility; difficulties in our ability to evaluate, complete and integrate acquisitions successfully; inability to secure additional financing in a timely manner, or at all, to meet our long-term future capital needs; publication of research reports, including by short sellers, or speculation in the press or the investment community, about us; and other risk factors set forth in the section titled “Risk Factors” in our Annual Report on Form 20-F for the fiscal year ended December 31, 2025, and other documents filed with or furnished to the SEC, accessible on the SEC’s website at www.sec.gov and on our website at https://investors.sportradar.com. These statements reflect management’s current expectations regarding future events and operating performance and speak only as of the date of this press release. One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GROUP AG</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PROFIT OR LOSS AND OTHER COMPREHENSIVE INCOME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31"/>
        <w:gridCol w:w="60"/>
        <w:gridCol w:w="73"/>
        <w:gridCol w:w="928"/>
        <w:gridCol w:w="97"/>
        <w:gridCol w:w="73"/>
        <w:gridCol w:w="73"/>
        <w:gridCol w:w="928"/>
        <w:gridCol w:w="80"/>
        <w:gridCol w:w="60"/>
        <w:gridCol w:w="67"/>
        <w:gridCol w:w="855"/>
        <w:gridCol w:w="90"/>
        <w:gridCol w:w="67"/>
        <w:gridCol w:w="67"/>
        <w:gridCol w:w="855"/>
        <w:gridCol w:w="101"/>
      </w:tblGrid>
      <w:tr>
        <w:trPr/>
        <w:tc>
          <w:tcPr>
            <w:tcW w:w="5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 Period Ended</w:t>
              <w:br/>
              <w:t>June 30,</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€'000, except share and per share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377,815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317,790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724,333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629,021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(109,034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(215,533</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(204,137</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 rights expenses (including amortization of capitalized sport rights licenses)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(137,752</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(260,045</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(210,224</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(54,286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(102,561</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(97,113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(36,746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(66,113</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(56,854</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trade receivables, contract assets and other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Internally-developed software cost capitalized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(excluding amortization of capitalized sport rights licenses)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(40,866</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(33,449</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(loss) gain,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(18,407</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81,372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5,606</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(23,378</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(47,700</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(42,994</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before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(3,868</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(8,734</w:t>
            </w:r>
          </w:p>
        </w:tc>
        <w:tc>
          <w:tcPr>
            <w:tcW w:w="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90,802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(17,347</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(3,517</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(9,804</w:t>
            </w:r>
          </w:p>
        </w:tc>
        <w:tc>
          <w:tcPr>
            <w:tcW w:w="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73,455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that will not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equity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defined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deferred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(2,709</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(2,706</w:t>
            </w:r>
          </w:p>
        </w:tc>
        <w:tc>
          <w:tcPr>
            <w:tcW w:w="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that may be reclassified subsequently to profit or (loss)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attributable to the owners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(11,614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(16,777</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for the period,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(16,746</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income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(4,950</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(9,057</w:t>
            </w:r>
          </w:p>
        </w:tc>
        <w:tc>
          <w:tcPr>
            <w:tcW w:w="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56,709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profit attributable to:</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(3,517</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(9,803</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73,453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(3,517</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(9,804</w:t>
            </w:r>
          </w:p>
        </w:tc>
        <w:tc>
          <w:tcPr>
            <w:tcW w:w="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73,455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income attributable to:</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(9,056</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56,812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(4,950</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(9,057</w:t>
            </w:r>
          </w:p>
        </w:tc>
        <w:tc>
          <w:tcPr>
            <w:tcW w:w="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56,709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profit per Class A share attributable to owners of the Company</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profit per Class B share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number of shares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Class A shares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215,008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217,129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215,432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Class A shares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231,497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233,353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234,986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Class B shares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783,671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783,671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853,671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GROUP AG</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999" w:type="dxa"/>
        <w:jc w:val="left"/>
        <w:tblInd w:w="0" w:type="dxa"/>
        <w:tblLayout w:type="fixed"/>
        <w:tblCellMar>
          <w:top w:w="0" w:type="dxa"/>
          <w:left w:w="0" w:type="dxa"/>
          <w:bottom w:w="28" w:type="dxa"/>
          <w:right w:w="0" w:type="dxa"/>
        </w:tblCellMar>
      </w:tblPr>
      <w:tblGrid>
        <w:gridCol w:w="4070"/>
        <w:gridCol w:w="60"/>
        <w:gridCol w:w="60"/>
        <w:gridCol w:w="845"/>
        <w:gridCol w:w="80"/>
        <w:gridCol w:w="60"/>
        <w:gridCol w:w="114"/>
        <w:gridCol w:w="1615"/>
        <w:gridCol w:w="95"/>
      </w:tblGrid>
      <w:tr>
        <w:trPr/>
        <w:tc>
          <w:tcPr>
            <w:tcW w:w="4070" w:type="dxa"/>
            <w:tcBorders>
              <w:bottom w:val="single" w:sz="8" w:space="0" w:color="000000"/>
            </w:tcBorders>
            <w:vAlign w:val="center"/>
          </w:tcPr>
          <w:p>
            <w:pPr>
              <w:pStyle w:val="TableContents"/>
              <w:bidi w:val="0"/>
              <w:spacing w:before="0" w:after="283"/>
              <w:ind w:left="0" w:right="0" w:hanging="180"/>
              <w:jc w:val="left"/>
              <w:rPr>
                <w:i/>
                <w:sz w:val="20"/>
              </w:rPr>
            </w:pPr>
            <w:r>
              <w:rPr>
                <w:i/>
                <w:sz w:val="20"/>
              </w:rPr>
              <w:t>in €'000</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b/>
                <w:sz w:val="20"/>
              </w:rPr>
            </w:pPr>
            <w:r>
              <w:rPr>
                <w:b/>
                <w:sz w:val="20"/>
              </w:rPr>
              <w:t>June 30,</w:t>
            </w:r>
            <w:r>
              <w:rPr>
                <w:rFonts w:ascii="Times New Roman;Times;Serif" w:hAnsi="Times New Roman;Times;Serif"/>
                <w:b/>
                <w:sz w:val="20"/>
              </w:rPr>
              <w:br/>
            </w:r>
            <w:r>
              <w:rPr>
                <w:b/>
                <w:sz w:val="20"/>
              </w:rPr>
              <w:t>2026</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b/>
                <w:sz w:val="20"/>
              </w:rPr>
            </w:pPr>
            <w:r>
              <w:rPr>
                <w:b/>
                <w:sz w:val="20"/>
              </w:rPr>
              <w:t>December 31, 2025</w:t>
            </w:r>
            <w:r>
              <w:rPr>
                <w:b/>
                <w:position w:val="7"/>
                <w:sz w:val="16"/>
                <w:sz w:val="20"/>
              </w:rPr>
              <w:t>1</w:t>
            </w:r>
          </w:p>
        </w:tc>
        <w:tc>
          <w:tcPr>
            <w:tcW w:w="95" w:type="dxa"/>
            <w:tcBorders/>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sz w:val="20"/>
              </w:rPr>
            </w:pPr>
            <w:r>
              <w:rPr>
                <w:b/>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251,114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365,295</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89,631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93,552</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Contract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111,135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123,456</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Other assets and prepayments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88,996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72,287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Income tax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vAlign w:val="center"/>
          </w:tcPr>
          <w:p>
            <w:pPr>
              <w:pStyle w:val="TableContents"/>
              <w:bidi w:val="0"/>
              <w:spacing w:before="0" w:after="283"/>
              <w:jc w:val="right"/>
              <w:rPr>
                <w:sz w:val="20"/>
              </w:rPr>
            </w:pPr>
            <w:r>
              <w:rPr>
                <w:sz w:val="20"/>
              </w:rPr>
              <w:t>13,418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CCEEFF" w:val="clear"/>
            <w:vAlign w:val="center"/>
          </w:tcPr>
          <w:p>
            <w:pPr>
              <w:pStyle w:val="TableContents"/>
              <w:bidi w:val="0"/>
              <w:spacing w:before="0" w:after="283"/>
              <w:jc w:val="left"/>
              <w:rPr/>
            </w:pPr>
            <w:r>
              <w:rPr/>
              <w:t> </w:t>
            </w:r>
          </w:p>
        </w:tc>
        <w:tc>
          <w:tcPr>
            <w:tcW w:w="1615" w:type="dxa"/>
            <w:tcBorders>
              <w:bottom w:val="single" w:sz="8" w:space="0" w:color="000000"/>
            </w:tcBorders>
            <w:shd w:fill="CCEEFF" w:val="clear"/>
            <w:vAlign w:val="center"/>
          </w:tcPr>
          <w:p>
            <w:pPr>
              <w:pStyle w:val="TableContents"/>
              <w:bidi w:val="0"/>
              <w:spacing w:before="0" w:after="283"/>
              <w:jc w:val="right"/>
              <w:rPr>
                <w:sz w:val="20"/>
              </w:rPr>
            </w:pPr>
            <w:r>
              <w:rPr>
                <w:sz w:val="20"/>
              </w:rPr>
              <w:t>15,884</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right"/>
              <w:rPr>
                <w:b/>
                <w:sz w:val="20"/>
              </w:rPr>
            </w:pPr>
            <w:r>
              <w:rPr>
                <w:b/>
                <w:sz w:val="20"/>
              </w:rPr>
              <w:t>554,294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vAlign w:val="center"/>
          </w:tcPr>
          <w:p>
            <w:pPr>
              <w:pStyle w:val="TableContents"/>
              <w:bidi w:val="0"/>
              <w:spacing w:before="0" w:after="283"/>
              <w:jc w:val="left"/>
              <w:rPr/>
            </w:pPr>
            <w:r>
              <w:rPr/>
              <w:t> </w:t>
            </w:r>
          </w:p>
        </w:tc>
        <w:tc>
          <w:tcPr>
            <w:tcW w:w="1615" w:type="dxa"/>
            <w:tcBorders>
              <w:bottom w:val="single" w:sz="8" w:space="0" w:color="000000"/>
            </w:tcBorders>
            <w:shd w:fill="FFFFFF" w:val="clear"/>
            <w:vAlign w:val="center"/>
          </w:tcPr>
          <w:p>
            <w:pPr>
              <w:pStyle w:val="TableContents"/>
              <w:bidi w:val="0"/>
              <w:spacing w:before="0" w:after="283"/>
              <w:jc w:val="right"/>
              <w:rPr>
                <w:b/>
                <w:sz w:val="20"/>
              </w:rPr>
            </w:pPr>
            <w:r>
              <w:rPr>
                <w:b/>
                <w:sz w:val="20"/>
              </w:rPr>
              <w:t>670,474</w:t>
            </w:r>
          </w:p>
        </w:tc>
        <w:tc>
          <w:tcPr>
            <w:tcW w:w="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sz w:val="20"/>
              </w:rPr>
            </w:pPr>
            <w:r>
              <w:rPr>
                <w:b/>
                <w:sz w:val="20"/>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Property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77,673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79,343</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Intangible assets and 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1,833,275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2,022,332</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Other financial assets and other 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63,113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60,517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vAlign w:val="center"/>
          </w:tcPr>
          <w:p>
            <w:pPr>
              <w:pStyle w:val="TableContents"/>
              <w:bidi w:val="0"/>
              <w:spacing w:before="0" w:after="283"/>
              <w:jc w:val="right"/>
              <w:rPr>
                <w:sz w:val="20"/>
              </w:rPr>
            </w:pPr>
            <w:r>
              <w:rPr>
                <w:sz w:val="20"/>
              </w:rPr>
              <w:t>35,638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CCEEFF" w:val="clear"/>
            <w:vAlign w:val="center"/>
          </w:tcPr>
          <w:p>
            <w:pPr>
              <w:pStyle w:val="TableContents"/>
              <w:bidi w:val="0"/>
              <w:spacing w:before="0" w:after="283"/>
              <w:jc w:val="left"/>
              <w:rPr/>
            </w:pPr>
            <w:r>
              <w:rPr/>
              <w:t> </w:t>
            </w:r>
          </w:p>
        </w:tc>
        <w:tc>
          <w:tcPr>
            <w:tcW w:w="1615" w:type="dxa"/>
            <w:tcBorders>
              <w:bottom w:val="single" w:sz="8" w:space="0" w:color="000000"/>
            </w:tcBorders>
            <w:shd w:fill="CCEEFF" w:val="clear"/>
            <w:vAlign w:val="center"/>
          </w:tcPr>
          <w:p>
            <w:pPr>
              <w:pStyle w:val="TableContents"/>
              <w:bidi w:val="0"/>
              <w:spacing w:before="0" w:after="283"/>
              <w:jc w:val="right"/>
              <w:rPr>
                <w:sz w:val="20"/>
              </w:rPr>
            </w:pPr>
            <w:r>
              <w:rPr>
                <w:sz w:val="20"/>
              </w:rPr>
              <w:t>28,748</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Total 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right"/>
              <w:rPr>
                <w:b/>
                <w:sz w:val="20"/>
              </w:rPr>
            </w:pPr>
            <w:r>
              <w:rPr>
                <w:b/>
                <w:sz w:val="20"/>
              </w:rPr>
              <w:t>2,009,699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vAlign w:val="center"/>
          </w:tcPr>
          <w:p>
            <w:pPr>
              <w:pStyle w:val="TableContents"/>
              <w:bidi w:val="0"/>
              <w:spacing w:before="0" w:after="283"/>
              <w:jc w:val="left"/>
              <w:rPr/>
            </w:pPr>
            <w:r>
              <w:rPr/>
              <w:t> </w:t>
            </w:r>
          </w:p>
        </w:tc>
        <w:tc>
          <w:tcPr>
            <w:tcW w:w="1615" w:type="dxa"/>
            <w:tcBorders>
              <w:bottom w:val="single" w:sz="8" w:space="0" w:color="000000"/>
            </w:tcBorders>
            <w:shd w:fill="FFFFFF" w:val="clear"/>
            <w:vAlign w:val="center"/>
          </w:tcPr>
          <w:p>
            <w:pPr>
              <w:pStyle w:val="TableContents"/>
              <w:bidi w:val="0"/>
              <w:spacing w:before="0" w:after="283"/>
              <w:jc w:val="right"/>
              <w:rPr>
                <w:b/>
                <w:sz w:val="20"/>
              </w:rPr>
            </w:pPr>
            <w:r>
              <w:rPr>
                <w:b/>
                <w:sz w:val="20"/>
              </w:rPr>
              <w:t>2,190,940</w:t>
            </w:r>
          </w:p>
        </w:tc>
        <w:tc>
          <w:tcPr>
            <w:tcW w:w="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sz w:val="20"/>
              </w:rPr>
            </w:pPr>
            <w:r>
              <w:rPr>
                <w:b/>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845" w:type="dxa"/>
            <w:tcBorders>
              <w:bottom w:val="double" w:sz="6" w:space="0" w:color="000000"/>
            </w:tcBorders>
            <w:shd w:fill="CCEEFF" w:val="clear"/>
            <w:vAlign w:val="center"/>
          </w:tcPr>
          <w:p>
            <w:pPr>
              <w:pStyle w:val="TableContents"/>
              <w:bidi w:val="0"/>
              <w:spacing w:before="0" w:after="283"/>
              <w:jc w:val="right"/>
              <w:rPr>
                <w:b/>
                <w:sz w:val="20"/>
              </w:rPr>
            </w:pPr>
            <w:r>
              <w:rPr>
                <w:b/>
                <w:sz w:val="20"/>
              </w:rPr>
              <w:t>2,563,993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double" w:sz="6" w:space="0" w:color="000000"/>
            </w:tcBorders>
            <w:shd w:fill="CCEEFF" w:val="clear"/>
            <w:vAlign w:val="center"/>
          </w:tcPr>
          <w:p>
            <w:pPr>
              <w:pStyle w:val="TableContents"/>
              <w:bidi w:val="0"/>
              <w:spacing w:before="0" w:after="283"/>
              <w:jc w:val="left"/>
              <w:rPr/>
            </w:pPr>
            <w:r>
              <w:rPr/>
              <w:t> </w:t>
            </w:r>
          </w:p>
        </w:tc>
        <w:tc>
          <w:tcPr>
            <w:tcW w:w="1615" w:type="dxa"/>
            <w:tcBorders>
              <w:bottom w:val="double" w:sz="6" w:space="0" w:color="000000"/>
            </w:tcBorders>
            <w:shd w:fill="CCEEFF" w:val="clear"/>
            <w:vAlign w:val="center"/>
          </w:tcPr>
          <w:p>
            <w:pPr>
              <w:pStyle w:val="TableContents"/>
              <w:bidi w:val="0"/>
              <w:spacing w:before="0" w:after="283"/>
              <w:jc w:val="right"/>
              <w:rPr>
                <w:b/>
                <w:sz w:val="20"/>
              </w:rPr>
            </w:pPr>
            <w:r>
              <w:rPr>
                <w:b/>
                <w:sz w:val="20"/>
              </w:rPr>
              <w:t>2,861,414</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Liabilities and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sz w:val="20"/>
              </w:rPr>
            </w:pPr>
            <w:r>
              <w:rPr>
                <w:b/>
                <w:sz w:val="20"/>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Loans and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10,883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11,010</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447,339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423,650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61,774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92,441</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44,899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35,195</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Income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right"/>
              <w:rPr>
                <w:sz w:val="20"/>
              </w:rPr>
            </w:pPr>
            <w:r>
              <w:rPr>
                <w:sz w:val="20"/>
              </w:rPr>
              <w:t>2,880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vAlign w:val="center"/>
          </w:tcPr>
          <w:p>
            <w:pPr>
              <w:pStyle w:val="TableContents"/>
              <w:bidi w:val="0"/>
              <w:spacing w:before="0" w:after="283"/>
              <w:jc w:val="left"/>
              <w:rPr/>
            </w:pPr>
            <w:r>
              <w:rPr/>
              <w:t> </w:t>
            </w:r>
          </w:p>
        </w:tc>
        <w:tc>
          <w:tcPr>
            <w:tcW w:w="1615" w:type="dxa"/>
            <w:tcBorders>
              <w:bottom w:val="single" w:sz="8" w:space="0" w:color="000000"/>
            </w:tcBorders>
            <w:shd w:fill="FFFFFF" w:val="clear"/>
            <w:vAlign w:val="center"/>
          </w:tcPr>
          <w:p>
            <w:pPr>
              <w:pStyle w:val="TableContents"/>
              <w:bidi w:val="0"/>
              <w:spacing w:before="0" w:after="283"/>
              <w:jc w:val="right"/>
              <w:rPr>
                <w:sz w:val="20"/>
              </w:rPr>
            </w:pPr>
            <w:r>
              <w:rPr>
                <w:sz w:val="20"/>
              </w:rPr>
              <w:t>6,891</w:t>
            </w:r>
          </w:p>
        </w:tc>
        <w:tc>
          <w:tcPr>
            <w:tcW w:w="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sz w:val="20"/>
              </w:rPr>
            </w:pPr>
            <w:r>
              <w:rPr>
                <w:b/>
                <w:sz w:val="20"/>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vAlign w:val="center"/>
          </w:tcPr>
          <w:p>
            <w:pPr>
              <w:pStyle w:val="TableContents"/>
              <w:bidi w:val="0"/>
              <w:spacing w:before="0" w:after="283"/>
              <w:jc w:val="right"/>
              <w:rPr>
                <w:b/>
                <w:sz w:val="20"/>
              </w:rPr>
            </w:pPr>
            <w:r>
              <w:rPr>
                <w:b/>
                <w:sz w:val="20"/>
              </w:rPr>
              <w:t>567,775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CCEEFF" w:val="clear"/>
            <w:vAlign w:val="center"/>
          </w:tcPr>
          <w:p>
            <w:pPr>
              <w:pStyle w:val="TableContents"/>
              <w:bidi w:val="0"/>
              <w:spacing w:before="0" w:after="283"/>
              <w:jc w:val="left"/>
              <w:rPr/>
            </w:pPr>
            <w:r>
              <w:rPr/>
              <w:t> </w:t>
            </w:r>
          </w:p>
        </w:tc>
        <w:tc>
          <w:tcPr>
            <w:tcW w:w="1615" w:type="dxa"/>
            <w:tcBorders>
              <w:bottom w:val="single" w:sz="8" w:space="0" w:color="000000"/>
            </w:tcBorders>
            <w:shd w:fill="CCEEFF" w:val="clear"/>
            <w:vAlign w:val="center"/>
          </w:tcPr>
          <w:p>
            <w:pPr>
              <w:pStyle w:val="TableContents"/>
              <w:bidi w:val="0"/>
              <w:spacing w:before="0" w:after="283"/>
              <w:jc w:val="right"/>
              <w:rPr>
                <w:b/>
                <w:sz w:val="20"/>
              </w:rPr>
            </w:pPr>
            <w:r>
              <w:rPr>
                <w:b/>
                <w:sz w:val="20"/>
              </w:rPr>
              <w:t>569,187</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Loans and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50,146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51,842</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Trade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1,111,535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1,203,567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34,653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38,024</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Other 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4,304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3,880</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vAlign w:val="center"/>
          </w:tcPr>
          <w:p>
            <w:pPr>
              <w:pStyle w:val="TableContents"/>
              <w:bidi w:val="0"/>
              <w:spacing w:before="0" w:after="283"/>
              <w:jc w:val="right"/>
              <w:rPr>
                <w:sz w:val="20"/>
              </w:rPr>
            </w:pPr>
            <w:r>
              <w:rPr>
                <w:sz w:val="20"/>
              </w:rPr>
              <w:t>13,283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CCEEFF" w:val="clear"/>
            <w:vAlign w:val="center"/>
          </w:tcPr>
          <w:p>
            <w:pPr>
              <w:pStyle w:val="TableContents"/>
              <w:bidi w:val="0"/>
              <w:spacing w:before="0" w:after="283"/>
              <w:jc w:val="left"/>
              <w:rPr/>
            </w:pPr>
            <w:r>
              <w:rPr/>
              <w:t> </w:t>
            </w:r>
          </w:p>
        </w:tc>
        <w:tc>
          <w:tcPr>
            <w:tcW w:w="1615" w:type="dxa"/>
            <w:tcBorders>
              <w:bottom w:val="single" w:sz="8" w:space="0" w:color="000000"/>
            </w:tcBorders>
            <w:shd w:fill="CCEEFF" w:val="clear"/>
            <w:vAlign w:val="center"/>
          </w:tcPr>
          <w:p>
            <w:pPr>
              <w:pStyle w:val="TableContents"/>
              <w:bidi w:val="0"/>
              <w:spacing w:before="0" w:after="283"/>
              <w:jc w:val="right"/>
              <w:rPr>
                <w:sz w:val="20"/>
              </w:rPr>
            </w:pPr>
            <w:r>
              <w:rPr>
                <w:sz w:val="20"/>
              </w:rPr>
              <w:t>16,146</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Total 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right"/>
              <w:rPr>
                <w:b/>
                <w:sz w:val="20"/>
              </w:rPr>
            </w:pPr>
            <w:r>
              <w:rPr>
                <w:b/>
                <w:sz w:val="20"/>
              </w:rPr>
              <w:t>1,213,921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vAlign w:val="center"/>
          </w:tcPr>
          <w:p>
            <w:pPr>
              <w:pStyle w:val="TableContents"/>
              <w:bidi w:val="0"/>
              <w:spacing w:before="0" w:after="283"/>
              <w:jc w:val="left"/>
              <w:rPr/>
            </w:pPr>
            <w:r>
              <w:rPr/>
              <w:t> </w:t>
            </w:r>
          </w:p>
        </w:tc>
        <w:tc>
          <w:tcPr>
            <w:tcW w:w="1615" w:type="dxa"/>
            <w:tcBorders>
              <w:bottom w:val="single" w:sz="8" w:space="0" w:color="000000"/>
            </w:tcBorders>
            <w:shd w:fill="FFFFFF" w:val="clear"/>
            <w:vAlign w:val="center"/>
          </w:tcPr>
          <w:p>
            <w:pPr>
              <w:pStyle w:val="TableContents"/>
              <w:bidi w:val="0"/>
              <w:spacing w:before="0" w:after="283"/>
              <w:jc w:val="right"/>
              <w:rPr>
                <w:b/>
                <w:sz w:val="20"/>
              </w:rPr>
            </w:pPr>
            <w:r>
              <w:rPr>
                <w:b/>
                <w:sz w:val="20"/>
              </w:rPr>
              <w:t>1,313,459</w:t>
            </w:r>
          </w:p>
        </w:tc>
        <w:tc>
          <w:tcPr>
            <w:tcW w:w="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sz w:val="20"/>
              </w:rPr>
            </w:pPr>
            <w:r>
              <w:rPr>
                <w:b/>
                <w:sz w:val="20"/>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845" w:type="dxa"/>
            <w:tcBorders>
              <w:bottom w:val="double" w:sz="6" w:space="0" w:color="000000"/>
            </w:tcBorders>
            <w:shd w:fill="CCEEFF" w:val="clear"/>
            <w:vAlign w:val="center"/>
          </w:tcPr>
          <w:p>
            <w:pPr>
              <w:pStyle w:val="TableContents"/>
              <w:bidi w:val="0"/>
              <w:spacing w:before="0" w:after="283"/>
              <w:jc w:val="right"/>
              <w:rPr>
                <w:b/>
                <w:sz w:val="20"/>
              </w:rPr>
            </w:pPr>
            <w:r>
              <w:rPr>
                <w:b/>
                <w:sz w:val="20"/>
              </w:rPr>
              <w:t>1,781,696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double" w:sz="6" w:space="0" w:color="000000"/>
            </w:tcBorders>
            <w:shd w:fill="CCEEFF" w:val="clear"/>
            <w:vAlign w:val="center"/>
          </w:tcPr>
          <w:p>
            <w:pPr>
              <w:pStyle w:val="TableContents"/>
              <w:bidi w:val="0"/>
              <w:spacing w:before="0" w:after="283"/>
              <w:jc w:val="left"/>
              <w:rPr/>
            </w:pPr>
            <w:r>
              <w:rPr/>
              <w:t> </w:t>
            </w:r>
          </w:p>
        </w:tc>
        <w:tc>
          <w:tcPr>
            <w:tcW w:w="1615" w:type="dxa"/>
            <w:tcBorders>
              <w:bottom w:val="double" w:sz="6" w:space="0" w:color="000000"/>
            </w:tcBorders>
            <w:shd w:fill="CCEEFF" w:val="clear"/>
            <w:vAlign w:val="center"/>
          </w:tcPr>
          <w:p>
            <w:pPr>
              <w:pStyle w:val="TableContents"/>
              <w:bidi w:val="0"/>
              <w:spacing w:before="0" w:after="283"/>
              <w:jc w:val="right"/>
              <w:rPr>
                <w:b/>
                <w:sz w:val="20"/>
              </w:rPr>
            </w:pPr>
            <w:r>
              <w:rPr>
                <w:b/>
                <w:sz w:val="20"/>
              </w:rPr>
              <w:t>1,882,646</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27,582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27,582</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Treasury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(236,276</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(79,388</w:t>
            </w:r>
          </w:p>
        </w:tc>
        <w:tc>
          <w:tcPr>
            <w:tcW w:w="9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664,928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sz w:val="20"/>
              </w:rPr>
            </w:pPr>
            <w:r>
              <w:rPr>
                <w:sz w:val="20"/>
              </w:rPr>
              <w:t>682,475</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sz w:val="20"/>
              </w:rPr>
            </w:pPr>
            <w:r>
              <w:rPr>
                <w:sz w:val="20"/>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319,700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sz w:val="20"/>
              </w:rPr>
            </w:pPr>
            <w:r>
              <w:rPr>
                <w:sz w:val="20"/>
              </w:rPr>
              <w:t>342,482</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Other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vAlign w:val="center"/>
          </w:tcPr>
          <w:p>
            <w:pPr>
              <w:pStyle w:val="TableContents"/>
              <w:bidi w:val="0"/>
              <w:spacing w:before="0" w:after="283"/>
              <w:jc w:val="right"/>
              <w:rPr>
                <w:sz w:val="20"/>
              </w:rPr>
            </w:pPr>
            <w:r>
              <w:rPr>
                <w:sz w:val="20"/>
              </w:rPr>
              <w:t>6,362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CCEEFF" w:val="clear"/>
            <w:vAlign w:val="center"/>
          </w:tcPr>
          <w:p>
            <w:pPr>
              <w:pStyle w:val="TableContents"/>
              <w:bidi w:val="0"/>
              <w:spacing w:before="0" w:after="283"/>
              <w:jc w:val="left"/>
              <w:rPr/>
            </w:pPr>
            <w:r>
              <w:rPr/>
              <w:t> </w:t>
            </w:r>
          </w:p>
        </w:tc>
        <w:tc>
          <w:tcPr>
            <w:tcW w:w="1615" w:type="dxa"/>
            <w:tcBorders>
              <w:bottom w:val="single" w:sz="8" w:space="0" w:color="000000"/>
            </w:tcBorders>
            <w:shd w:fill="CCEEFF" w:val="clear"/>
            <w:vAlign w:val="center"/>
          </w:tcPr>
          <w:p>
            <w:pPr>
              <w:pStyle w:val="TableContents"/>
              <w:bidi w:val="0"/>
              <w:spacing w:before="0" w:after="283"/>
              <w:jc w:val="right"/>
              <w:rPr>
                <w:sz w:val="20"/>
              </w:rPr>
            </w:pPr>
            <w:r>
              <w:rPr>
                <w:sz w:val="20"/>
              </w:rPr>
              <w:t>5,615</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Equity attributable to owners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right"/>
              <w:rPr>
                <w:b/>
                <w:sz w:val="20"/>
              </w:rPr>
            </w:pPr>
            <w:r>
              <w:rPr>
                <w:b/>
                <w:sz w:val="20"/>
              </w:rPr>
              <w:t>782,296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vAlign w:val="center"/>
          </w:tcPr>
          <w:p>
            <w:pPr>
              <w:pStyle w:val="TableContents"/>
              <w:bidi w:val="0"/>
              <w:spacing w:before="0" w:after="283"/>
              <w:jc w:val="left"/>
              <w:rPr/>
            </w:pPr>
            <w:r>
              <w:rPr/>
              <w:t> </w:t>
            </w:r>
          </w:p>
        </w:tc>
        <w:tc>
          <w:tcPr>
            <w:tcW w:w="1615" w:type="dxa"/>
            <w:tcBorders>
              <w:bottom w:val="single" w:sz="8" w:space="0" w:color="000000"/>
            </w:tcBorders>
            <w:shd w:fill="FFFFFF" w:val="clear"/>
            <w:vAlign w:val="center"/>
          </w:tcPr>
          <w:p>
            <w:pPr>
              <w:pStyle w:val="TableContents"/>
              <w:bidi w:val="0"/>
              <w:spacing w:before="0" w:after="283"/>
              <w:jc w:val="right"/>
              <w:rPr>
                <w:b/>
                <w:sz w:val="20"/>
              </w:rPr>
            </w:pPr>
            <w:r>
              <w:rPr>
                <w:b/>
                <w:sz w:val="20"/>
              </w:rPr>
              <w:t>978,766</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sz w:val="20"/>
              </w:rPr>
            </w:pPr>
            <w:r>
              <w:rPr>
                <w:sz w:val="20"/>
              </w:rPr>
              <w:t>Non-controlling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vAlign w:val="center"/>
          </w:tcPr>
          <w:p>
            <w:pPr>
              <w:pStyle w:val="TableContents"/>
              <w:bidi w:val="0"/>
              <w:spacing w:before="0" w:after="283"/>
              <w:jc w:val="right"/>
              <w:rPr>
                <w:sz w:val="20"/>
              </w:rPr>
            </w:pPr>
            <w:r>
              <w:rPr>
                <w:sz w:val="20"/>
              </w:rPr>
              <w:t>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CCEEFF" w:val="clear"/>
            <w:vAlign w:val="center"/>
          </w:tcPr>
          <w:p>
            <w:pPr>
              <w:pStyle w:val="TableContents"/>
              <w:bidi w:val="0"/>
              <w:spacing w:before="0" w:after="283"/>
              <w:jc w:val="left"/>
              <w:rPr/>
            </w:pPr>
            <w:r>
              <w:rPr/>
              <w:t> </w:t>
            </w:r>
          </w:p>
        </w:tc>
        <w:tc>
          <w:tcPr>
            <w:tcW w:w="1615" w:type="dxa"/>
            <w:tcBorders>
              <w:bottom w:val="single" w:sz="8" w:space="0" w:color="000000"/>
            </w:tcBorders>
            <w:shd w:fill="CCEEFF" w:val="clear"/>
            <w:vAlign w:val="center"/>
          </w:tcPr>
          <w:p>
            <w:pPr>
              <w:pStyle w:val="TableContents"/>
              <w:bidi w:val="0"/>
              <w:spacing w:before="0" w:after="283"/>
              <w:jc w:val="right"/>
              <w:rPr>
                <w:sz w:val="20"/>
              </w:rPr>
            </w:pPr>
            <w:r>
              <w:rPr>
                <w:sz w:val="20"/>
              </w:rPr>
              <w:t>2</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b/>
                <w:sz w:val="20"/>
              </w:rPr>
            </w:pPr>
            <w:r>
              <w:rPr>
                <w:b/>
                <w:sz w:val="20"/>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right"/>
              <w:rPr>
                <w:b/>
                <w:sz w:val="20"/>
              </w:rPr>
            </w:pPr>
            <w:r>
              <w:rPr>
                <w:b/>
                <w:sz w:val="20"/>
              </w:rPr>
              <w:t>782,297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vAlign w:val="center"/>
          </w:tcPr>
          <w:p>
            <w:pPr>
              <w:pStyle w:val="TableContents"/>
              <w:bidi w:val="0"/>
              <w:spacing w:before="0" w:after="283"/>
              <w:jc w:val="left"/>
              <w:rPr/>
            </w:pPr>
            <w:r>
              <w:rPr/>
              <w:t> </w:t>
            </w:r>
          </w:p>
        </w:tc>
        <w:tc>
          <w:tcPr>
            <w:tcW w:w="1615" w:type="dxa"/>
            <w:tcBorders>
              <w:bottom w:val="single" w:sz="8" w:space="0" w:color="000000"/>
            </w:tcBorders>
            <w:shd w:fill="FFFFFF" w:val="clear"/>
            <w:vAlign w:val="center"/>
          </w:tcPr>
          <w:p>
            <w:pPr>
              <w:pStyle w:val="TableContents"/>
              <w:bidi w:val="0"/>
              <w:spacing w:before="0" w:after="283"/>
              <w:jc w:val="right"/>
              <w:rPr>
                <w:b/>
                <w:sz w:val="20"/>
              </w:rPr>
            </w:pPr>
            <w:r>
              <w:rPr>
                <w:b/>
                <w:sz w:val="20"/>
              </w:rPr>
              <w:t>978,768</w:t>
            </w:r>
          </w:p>
        </w:tc>
        <w:tc>
          <w:tcPr>
            <w:tcW w:w="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sz w:val="20"/>
              </w:rPr>
            </w:pPr>
            <w:r>
              <w:rPr>
                <w:b/>
                <w:sz w:val="20"/>
              </w:rPr>
              <w:t>Total liabilities and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845" w:type="dxa"/>
            <w:tcBorders>
              <w:bottom w:val="double" w:sz="6" w:space="0" w:color="000000"/>
            </w:tcBorders>
            <w:shd w:fill="CCEEFF" w:val="clear"/>
            <w:vAlign w:val="center"/>
          </w:tcPr>
          <w:p>
            <w:pPr>
              <w:pStyle w:val="TableContents"/>
              <w:bidi w:val="0"/>
              <w:spacing w:before="0" w:after="283"/>
              <w:jc w:val="right"/>
              <w:rPr>
                <w:b/>
                <w:sz w:val="20"/>
              </w:rPr>
            </w:pPr>
            <w:r>
              <w:rPr>
                <w:b/>
                <w:sz w:val="20"/>
              </w:rPr>
              <w:t>2,563,993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double" w:sz="6" w:space="0" w:color="000000"/>
            </w:tcBorders>
            <w:shd w:fill="CCEEFF" w:val="clear"/>
            <w:vAlign w:val="center"/>
          </w:tcPr>
          <w:p>
            <w:pPr>
              <w:pStyle w:val="TableContents"/>
              <w:bidi w:val="0"/>
              <w:spacing w:before="0" w:after="283"/>
              <w:jc w:val="left"/>
              <w:rPr/>
            </w:pPr>
            <w:r>
              <w:rPr/>
              <w:t> </w:t>
            </w:r>
          </w:p>
        </w:tc>
        <w:tc>
          <w:tcPr>
            <w:tcW w:w="1615" w:type="dxa"/>
            <w:tcBorders>
              <w:bottom w:val="double" w:sz="6" w:space="0" w:color="000000"/>
            </w:tcBorders>
            <w:shd w:fill="CCEEFF" w:val="clear"/>
            <w:vAlign w:val="center"/>
          </w:tcPr>
          <w:p>
            <w:pPr>
              <w:pStyle w:val="TableContents"/>
              <w:bidi w:val="0"/>
              <w:spacing w:before="0" w:after="283"/>
              <w:jc w:val="right"/>
              <w:rPr>
                <w:b/>
                <w:sz w:val="20"/>
              </w:rPr>
            </w:pPr>
            <w:r>
              <w:rPr>
                <w:b/>
                <w:sz w:val="20"/>
              </w:rPr>
              <w:t>2,861,414</w:t>
            </w:r>
          </w:p>
        </w:tc>
        <w:tc>
          <w:tcPr>
            <w:tcW w:w="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Certain prior-year balance sheet amounts have been adjusted to reflect measurement period adjustments, in accordance with IFRS 3, related to the acquisition of IMG Arena.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GROUP AG</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167" w:type="dxa"/>
        <w:jc w:val="left"/>
        <w:tblInd w:w="0" w:type="dxa"/>
        <w:tblLayout w:type="fixed"/>
        <w:tblCellMar>
          <w:top w:w="0" w:type="dxa"/>
          <w:left w:w="0" w:type="dxa"/>
          <w:bottom w:w="0" w:type="dxa"/>
          <w:right w:w="0" w:type="dxa"/>
        </w:tblCellMar>
      </w:tblPr>
      <w:tblGrid>
        <w:gridCol w:w="7910"/>
        <w:gridCol w:w="60"/>
        <w:gridCol w:w="71"/>
        <w:gridCol w:w="897"/>
        <w:gridCol w:w="95"/>
        <w:gridCol w:w="71"/>
        <w:gridCol w:w="71"/>
        <w:gridCol w:w="897"/>
        <w:gridCol w:w="95"/>
      </w:tblGrid>
      <w:tr>
        <w:trPr/>
        <w:tc>
          <w:tcPr>
            <w:tcW w:w="7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 Period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profit for the period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loss (gain),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(excluding amortization of capitalized sport rights licenses)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capitalized sport rights licenses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188,344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operating activities before working capital changes, interest and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280,801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252,208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trade receivables, contract assets, other assets and 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trade and other payables, contract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from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225,898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199,595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subsidiaries,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loans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loans receivable and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(121,826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(117,699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treasury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related to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(222,465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(93,182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(118,393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(11,286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movements in exchange rates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251,114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311,921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785" cy="2832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81785" cy="28321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disclosures related to sport rights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composition of sport rights expenses (unaudited):</w:t>
      </w:r>
    </w:p>
    <w:p>
      <w:pPr>
        <w:pStyle w:val="TextBody"/>
        <w:bidi w:val="0"/>
        <w:spacing w:before="0" w:after="0"/>
        <w:ind w:left="0" w:right="0" w:hanging="0"/>
        <w:jc w:val="left"/>
        <w:rPr>
          <w:caps w:val="false"/>
          <w:smallCaps w:val="false"/>
        </w:rPr>
      </w:pPr>
      <w:r>
        <w:rPr>
          <w:caps w:val="false"/>
          <w:smallCaps w:val="false"/>
        </w:rPr>
        <w:t> </w:t>
      </w:r>
    </w:p>
    <w:tbl>
      <w:tblPr>
        <w:tblW w:w="7929" w:type="dxa"/>
        <w:jc w:val="left"/>
        <w:tblInd w:w="0" w:type="dxa"/>
        <w:tblLayout w:type="fixed"/>
        <w:tblCellMar>
          <w:top w:w="0" w:type="dxa"/>
          <w:left w:w="0" w:type="dxa"/>
          <w:bottom w:w="0" w:type="dxa"/>
          <w:right w:w="0" w:type="dxa"/>
        </w:tblCellMar>
      </w:tblPr>
      <w:tblGrid>
        <w:gridCol w:w="3230"/>
        <w:gridCol w:w="60"/>
        <w:gridCol w:w="86"/>
        <w:gridCol w:w="999"/>
        <w:gridCol w:w="86"/>
        <w:gridCol w:w="86"/>
        <w:gridCol w:w="86"/>
        <w:gridCol w:w="999"/>
        <w:gridCol w:w="60"/>
        <w:gridCol w:w="60"/>
        <w:gridCol w:w="77"/>
        <w:gridCol w:w="897"/>
        <w:gridCol w:w="77"/>
        <w:gridCol w:w="77"/>
        <w:gridCol w:w="77"/>
        <w:gridCol w:w="897"/>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 Period Ended</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9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Non-capitalized sport rights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37,533</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71,701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capitalized sport rights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100,219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188,344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sport rights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137,752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106,194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260,045</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210,224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IFRS to Non-IFRS Reconciliations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Adjusted EBITDA to the most directly comparable IFRS financial performance measure, which is (Loss) profit for the period (unaudited), and Adjusted EBITDA margin to the most directly comparable IFRS financial performance measure, which is (Loss) profit for the period (unaudited) as a percentage of revenue: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83"/>
        <w:gridCol w:w="60"/>
        <w:gridCol w:w="71"/>
        <w:gridCol w:w="830"/>
        <w:gridCol w:w="282"/>
        <w:gridCol w:w="71"/>
        <w:gridCol w:w="71"/>
        <w:gridCol w:w="830"/>
        <w:gridCol w:w="215"/>
        <w:gridCol w:w="60"/>
        <w:gridCol w:w="66"/>
        <w:gridCol w:w="769"/>
        <w:gridCol w:w="261"/>
        <w:gridCol w:w="66"/>
        <w:gridCol w:w="66"/>
        <w:gridCol w:w="769"/>
        <w:gridCol w:w="235"/>
      </w:tblGrid>
      <w:tr>
        <w:trPr/>
        <w:tc>
          <w:tcPr>
            <w:tcW w:w="5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 Ended</w:t>
              <w:br/>
              <w:t>June 30,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 Period Ended</w:t>
              <w:br/>
              <w:t>June 30,</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82"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377,815</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317,790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724,333</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629,021</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r>
      <w:tr>
        <w:trPr/>
        <w:tc>
          <w:tcPr>
            <w:tcW w:w="54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profit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(3,517</w:t>
            </w:r>
          </w:p>
        </w:tc>
        <w:tc>
          <w:tcPr>
            <w:tcW w:w="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49,117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(9,804</w:t>
            </w:r>
          </w:p>
        </w:tc>
        <w:tc>
          <w:tcPr>
            <w:tcW w:w="2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73,455</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(5,606</w:t>
            </w:r>
          </w:p>
        </w:tc>
        <w:tc>
          <w:tcPr>
            <w:tcW w:w="2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23,378</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47,700</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42,994</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(excluding amortization of capitalized sport rights licenses)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21,336</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17,131</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40,866</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33,449</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loss (gain),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9,129</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(53,848</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18,407</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(81,372</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15,893</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14,530</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32,694</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29,071</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10,678</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11,787</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Non-routine litigation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5,067</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Transaction-related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12,338</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17,347</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76,269</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63,838</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142,275</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122,793</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profit for the period as a percentage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w:t>
            </w:r>
          </w:p>
        </w:tc>
        <w:tc>
          <w:tcPr>
            <w:tcW w:w="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w:t>
            </w:r>
          </w:p>
        </w:tc>
        <w:tc>
          <w:tcPr>
            <w:tcW w:w="2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w:t>
            </w:r>
          </w:p>
        </w:tc>
        <w:tc>
          <w:tcPr>
            <w:tcW w:w="2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581785" cy="28321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81785" cy="28321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directly comparable IFRS measure of Free cash flow is Net cash from operating activities, and the most directly comparable IFRS measure of Free cash flow conversion is Net cash from operating activities conversion, which is measured as Net cash from operating activities as a percentage of (Loss) profit for the period. Calculations for these measures are disclosed below (unaudited):</w:t>
      </w:r>
    </w:p>
    <w:p>
      <w:pPr>
        <w:pStyle w:val="TextBody"/>
        <w:bidi w:val="0"/>
        <w:spacing w:before="0" w:after="0"/>
        <w:ind w:left="0" w:right="0" w:hanging="0"/>
        <w:jc w:val="left"/>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710"/>
        <w:gridCol w:w="60"/>
        <w:gridCol w:w="65"/>
        <w:gridCol w:w="821"/>
        <w:gridCol w:w="266"/>
        <w:gridCol w:w="65"/>
        <w:gridCol w:w="65"/>
        <w:gridCol w:w="821"/>
        <w:gridCol w:w="230"/>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 Period Ended</w:t>
              <w:br/>
              <w:t>June 30,</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225,898</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199,595</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(113,313</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(109,284</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(5,416</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(3,972</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103,294</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84,084</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operating activities conversion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 conversion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2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show reconciliations of IFRS expenses included in (Loss) profit for the period to expenses included in Adjusted EBITDA (unaudited):</w:t>
      </w:r>
    </w:p>
    <w:p>
      <w:pPr>
        <w:pStyle w:val="TextBody"/>
        <w:bidi w:val="0"/>
        <w:spacing w:before="0" w:after="0"/>
        <w:ind w:left="0" w:right="0" w:hanging="0"/>
        <w:jc w:val="left"/>
        <w:rPr>
          <w:caps w:val="false"/>
          <w:smallCaps w:val="false"/>
        </w:rPr>
      </w:pPr>
      <w:r>
        <w:rPr>
          <w:caps w:val="false"/>
          <w:smallCaps w:val="false"/>
        </w:rPr>
        <w:t> </w:t>
      </w:r>
    </w:p>
    <w:tbl>
      <w:tblPr>
        <w:tblW w:w="8179" w:type="dxa"/>
        <w:jc w:val="left"/>
        <w:tblInd w:w="0" w:type="dxa"/>
        <w:tblLayout w:type="fixed"/>
        <w:tblCellMar>
          <w:top w:w="0" w:type="dxa"/>
          <w:left w:w="0" w:type="dxa"/>
          <w:bottom w:w="0" w:type="dxa"/>
          <w:right w:w="0" w:type="dxa"/>
        </w:tblCellMar>
      </w:tblPr>
      <w:tblGrid>
        <w:gridCol w:w="3440"/>
        <w:gridCol w:w="60"/>
        <w:gridCol w:w="85"/>
        <w:gridCol w:w="987"/>
        <w:gridCol w:w="113"/>
        <w:gridCol w:w="85"/>
        <w:gridCol w:w="85"/>
        <w:gridCol w:w="987"/>
        <w:gridCol w:w="80"/>
        <w:gridCol w:w="60"/>
        <w:gridCol w:w="76"/>
        <w:gridCol w:w="886"/>
        <w:gridCol w:w="102"/>
        <w:gridCol w:w="76"/>
        <w:gridCol w:w="76"/>
        <w:gridCol w:w="886"/>
        <w:gridCol w:w="95"/>
      </w:tblGrid>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 Period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10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54,286</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102,561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capitalized external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(1,907</w:t>
            </w:r>
          </w:p>
        </w:tc>
        <w:tc>
          <w:tcPr>
            <w:tcW w:w="1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(4,408</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transaction-related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purchased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52,364</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98,116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87,383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109,034</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215,533</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204,137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(16,149</w:t>
            </w:r>
          </w:p>
        </w:tc>
        <w:tc>
          <w:tcPr>
            <w:tcW w:w="1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(33,249</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restructuring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(10,678</w:t>
            </w:r>
          </w:p>
        </w:tc>
        <w:tc>
          <w:tcPr>
            <w:tcW w:w="1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(11,787</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capitalized personnel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(5,374</w:t>
            </w:r>
          </w:p>
        </w:tc>
        <w:tc>
          <w:tcPr>
            <w:tcW w:w="1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(9,232</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personnel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76,833</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79,687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161,265</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160,007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36,746</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66,113</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non-routine litigation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1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c>
          <w:tcPr>
            <w:tcW w:w="1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transaction-related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w:t>
            </w:r>
          </w:p>
        </w:tc>
        <w:tc>
          <w:tcPr>
            <w:tcW w:w="1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(2,322</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secondary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impairment loss on 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other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34,597</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62,632</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5690</Words>
  <Characters>32623</Characters>
  <CharactersWithSpaces>39395</CharactersWithSpaces>
  <Paragraphs>3233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