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31" w:type="dxa"/>
        <w:jc w:val="left"/>
        <w:tblInd w:w="0" w:type="dxa"/>
        <w:tblLayout w:type="fixed"/>
        <w:tblCellMar>
          <w:top w:w="28" w:type="dxa"/>
          <w:left w:w="28" w:type="dxa"/>
          <w:bottom w:w="28" w:type="dxa"/>
          <w:right w:w="28" w:type="dxa"/>
        </w:tblCellMar>
      </w:tblPr>
      <w:tblGrid>
        <w:gridCol w:w="6331"/>
      </w:tblGrid>
      <w:tr>
        <w:trPr/>
        <w:tc>
          <w:tcPr>
            <w:tcW w:w="633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3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31" w:type="dxa"/>
            <w:tcBorders/>
            <w:vAlign w:val="center"/>
          </w:tcPr>
          <w:p>
            <w:pPr>
              <w:pStyle w:val="TableContents"/>
              <w:bidi w:val="0"/>
              <w:spacing w:before="0" w:after="0"/>
              <w:jc w:val="left"/>
              <w:rPr/>
            </w:pPr>
            <w:r>
              <w:rPr/>
              <w:t xml:space="preserve">UNDER THE SECURITIES EXCHANGE ACT OF 1934 </w:t>
            </w:r>
          </w:p>
        </w:tc>
      </w:tr>
      <w:tr>
        <w:trPr/>
        <w:tc>
          <w:tcPr>
            <w:tcW w:w="6331" w:type="dxa"/>
            <w:tcBorders/>
            <w:vAlign w:val="center"/>
          </w:tcPr>
          <w:p>
            <w:pPr>
              <w:pStyle w:val="TableContents"/>
              <w:bidi w:val="0"/>
              <w:spacing w:before="0" w:after="283"/>
              <w:jc w:val="left"/>
              <w:rPr>
                <w:sz w:val="4"/>
                <w:szCs w:val="4"/>
              </w:rPr>
            </w:pPr>
            <w:r>
              <w:rPr>
                <w:sz w:val="4"/>
                <w:szCs w:val="4"/>
              </w:rPr>
            </w:r>
          </w:p>
        </w:tc>
      </w:tr>
      <w:tr>
        <w:trPr/>
        <w:tc>
          <w:tcPr>
            <w:tcW w:w="6331" w:type="dxa"/>
            <w:tcBorders/>
            <w:vAlign w:val="center"/>
          </w:tcPr>
          <w:p>
            <w:pPr>
              <w:pStyle w:val="TableContents"/>
              <w:bidi w:val="0"/>
              <w:spacing w:before="0" w:after="0"/>
              <w:jc w:val="center"/>
              <w:rPr>
                <w:b/>
                <w:color w:val="0000FF"/>
              </w:rPr>
            </w:pPr>
            <w:r>
              <w:rPr>
                <w:b/>
                <w:color w:val="0000FF"/>
              </w:rPr>
              <w:t>Sportradar Group AG</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31" w:type="dxa"/>
            <w:tcBorders/>
            <w:vAlign w:val="center"/>
          </w:tcPr>
          <w:p>
            <w:pPr>
              <w:pStyle w:val="TableContents"/>
              <w:bidi w:val="0"/>
              <w:spacing w:before="0" w:after="0"/>
              <w:jc w:val="center"/>
              <w:rPr>
                <w:b/>
                <w:color w:val="0000FF"/>
              </w:rPr>
            </w:pPr>
            <w:r>
              <w:rPr>
                <w:b/>
                <w:color w:val="0000FF"/>
              </w:rPr>
              <w:t>Class A Ordinary Shares, nominal value CHF 0.10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3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31" w:type="dxa"/>
            <w:tcBorders/>
            <w:vAlign w:val="center"/>
          </w:tcPr>
          <w:p>
            <w:pPr>
              <w:pStyle w:val="TableContents"/>
              <w:bidi w:val="0"/>
              <w:spacing w:before="0" w:after="0"/>
              <w:jc w:val="center"/>
              <w:rPr>
                <w:b/>
                <w:color w:val="0000FF"/>
              </w:rPr>
            </w:pPr>
            <w:r>
              <w:rPr>
                <w:b/>
                <w:color w:val="0000FF"/>
              </w:rPr>
              <w:t>08/04/2026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Spruce House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12,521,516.00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12,521,516.00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12,521,516.00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Spruce House Capital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12,521,516.00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12,521,516.00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12,521,516.00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Spruce House Partnership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12,521,516.00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12,521,516.00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12,521,516.00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Zachary Sternberg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12,521,516.00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12,521,516.00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12,521,516.00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Benjamin Stein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12,521,516.00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12,521,516.00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12,521,516.00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Sportradar Group AG</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Feldlistrasse 2 St. Gallen, Switzerland CH-9000</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Spruce House Investment Management LLC Spruce House Capital LLC The Spruce House Partnership LLC Zachary Sternberg Benjamin Stein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435 Hudson Street, Suite 804 New York, NY 10014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Spruce House Investment Management - Delaware Spruce House Capital - Delaware The Spruce House Partnership - Delaware Zachary Sternberg - United States of America Benjamin Stein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nominal value CHF 0.10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Spruce House Investment Management LLC - 12,521,516 Spruce House Capital LLC - 12,521,516 The Spruce House Partnership LLC - 12,521,516 Zachary Sternberg - 12,521,516 Benjamin Stein - 12,521,516</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Spruce House Investment Management LLC 5.8% Spruce House Capital LLC - 5.8% The Spruce House Partnership LLC - 5.8% Zachary Sternberg - 5.8% Benjamin Stein - 5.8%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Spruce House Investment Management LLC - 0 Spruce House Capital LLC - 0 The Spruce House Partnership LLC - 0 Zachary Sternberg - 0 Benjamin Stein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Spruce House Investment Management LLC - 12,521,516 Spruce House Capital LLC - 12,521,516 The Spruce House Partnership LLC - 12,521,516 Zachary Sternberg - 12,521,516 Benjamin Stein - 12,521,516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Spruce House Investment Management LLC - 0 Spruce House Capital LLC - 0 The Spruce House Partnership LLC - 0 Zachary Sternberg - 0 Benjamin Stein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Spruce House Investment Management LLC - 12,521,516 Spruce House Capital LLC - 12,521,516 The Spruce House Partnership LLC - 12,521,516 Zachary Sternberg - 12,521,516 Benjamin Stein - 12,521,516 All of the shares which Spruce House Investment Manager LLC, Spruce House Capital LLC, The Spruce House Partnership LLC, Zachary Sternberg, and Benjamin Stein (collectively, the "Reporting Persons") may be deemed to beneficially own are held directly by The Spruce House Partnership LLC. Spruce House Investment Management LLC and Spruce House Capital LLC are the investment advisor to and general partner of, respectively, The Spruce House Partnership LLC, and may be deemed to have the shared power to vote or direct the vote of (and the shared power to dispose or direct the disposition of) the shares held directly by The Spruce House Partnership LLC. By virtue of their positions with certain of the Reporting Persons, each of Messrs. Sternberg and Stein may be deemed to have the shared power to vote or direct the vote of (and the shared power to dispose or direct the disposition of) the shares held directly by The Spruce House Partnership LLC. This Schedule 13G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Spruce House Investment Management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Zachary Sternberg</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Member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5800" w:type="dxa"/>
        <w:jc w:val="left"/>
        <w:tblInd w:w="0" w:type="dxa"/>
        <w:tblLayout w:type="fixed"/>
        <w:tblCellMar>
          <w:top w:w="28" w:type="dxa"/>
          <w:left w:w="28" w:type="dxa"/>
          <w:bottom w:w="28" w:type="dxa"/>
          <w:right w:w="28" w:type="dxa"/>
        </w:tblCellMar>
      </w:tblPr>
      <w:tblGrid>
        <w:gridCol w:w="2900"/>
        <w:gridCol w:w="2900"/>
      </w:tblGrid>
      <w:tr>
        <w:trPr/>
        <w:tc>
          <w:tcPr>
            <w:tcW w:w="2900" w:type="dxa"/>
            <w:tcBorders/>
            <w:vAlign w:val="center"/>
          </w:tcPr>
          <w:p>
            <w:pPr>
              <w:pStyle w:val="TableContents"/>
              <w:bidi w:val="0"/>
              <w:spacing w:before="0" w:after="0"/>
              <w:jc w:val="left"/>
              <w:rPr/>
            </w:pPr>
            <w:r>
              <w:rPr/>
              <w:t> </w:t>
            </w:r>
          </w:p>
          <w:tbl>
            <w:tblPr>
              <w:tblW w:w="2761" w:type="dxa"/>
              <w:jc w:val="left"/>
              <w:tblInd w:w="0" w:type="dxa"/>
              <w:tblLayout w:type="fixed"/>
              <w:tblCellMar>
                <w:top w:w="28" w:type="dxa"/>
                <w:left w:w="28" w:type="dxa"/>
                <w:bottom w:w="28" w:type="dxa"/>
                <w:right w:w="28" w:type="dxa"/>
              </w:tblCellMar>
            </w:tblPr>
            <w:tblGrid>
              <w:gridCol w:w="2761"/>
            </w:tblGrid>
            <w:tr>
              <w:trPr/>
              <w:tc>
                <w:tcPr>
                  <w:tcW w:w="2761" w:type="dxa"/>
                  <w:tcBorders/>
                  <w:vAlign w:val="center"/>
                </w:tcPr>
                <w:p>
                  <w:pPr>
                    <w:pStyle w:val="TableContents"/>
                    <w:bidi w:val="0"/>
                    <w:spacing w:before="0" w:after="0"/>
                    <w:jc w:val="left"/>
                    <w:rPr/>
                  </w:pPr>
                  <w:r>
                    <w:rPr/>
                    <w:t>Spruce House Capital LLC</w:t>
                  </w:r>
                </w:p>
              </w:tc>
            </w:tr>
          </w:tbl>
          <w:p>
            <w:pPr>
              <w:pStyle w:val="TableContents"/>
              <w:bidi w:val="0"/>
              <w:spacing w:before="0" w:after="283"/>
              <w:jc w:val="left"/>
              <w:rPr/>
            </w:pPr>
            <w:r>
              <w:rPr/>
            </w:r>
          </w:p>
        </w:tc>
        <w:tc>
          <w:tcPr>
            <w:tcW w:w="29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Zachary Sternberg</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Managing Member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The Spruce House Partnership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Zachary Sternberg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Manager</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Zachary Sternberg</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Zachary Sternberg</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Zachary Sternberg</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Benjamin Stein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7"/>
        <w:gridCol w:w="4358"/>
      </w:tblGrid>
      <w:tr>
        <w:trPr/>
        <w:tc>
          <w:tcPr>
            <w:tcW w:w="584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Benjamin Stein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Benjamin Stein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1656</Words>
  <Characters>8653</Characters>
  <CharactersWithSpaces>10220</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